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16 (Benchmarking)</w:t>
      </w:r>
    </w:p>
    <w:p w:rsidR="00000000" w:rsidDel="00000000" w:rsidP="00000000" w:rsidRDefault="00000000" w:rsidRPr="00000000" w14:paraId="0000000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expressions shall have the following meanings:</w:t>
      </w:r>
    </w:p>
    <w:tbl>
      <w:tblPr>
        <w:tblStyle w:val="Table1"/>
        <w:tblW w:w="8042.0" w:type="dxa"/>
        <w:jc w:val="left"/>
        <w:tblInd w:w="1008.0" w:type="dxa"/>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 Review"</w:t>
            </w:r>
          </w:p>
        </w:tc>
        <w:tc>
          <w:tcPr>
            <w:shd w:fill="auto" w:val="clear"/>
          </w:tcPr>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"Benchmarked Deliverables"</w:t>
            </w:r>
          </w:p>
        </w:tc>
        <w:tc>
          <w:tcPr>
            <w:shd w:fill="auto" w:val="clear"/>
          </w:tcPr>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Rates"</w:t>
            </w:r>
          </w:p>
        </w:tc>
        <w:tc>
          <w:tcPr>
            <w:shd w:fill="auto" w:val="clear"/>
          </w:tcPr>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for Comparable Deliverables;</w:t>
            </w:r>
          </w:p>
        </w:tc>
      </w:tr>
      <w:tr>
        <w:trPr>
          <w:cantSplit w:val="0"/>
          <w:tblHeader w:val="0"/>
        </w:trPr>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Deliverables"</w:t>
            </w:r>
          </w:p>
        </w:tc>
        <w:tc>
          <w:tcPr>
            <w:shd w:fill="auto" w:val="clear"/>
          </w:tcPr>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"Comparison Group"</w:t>
            </w:r>
          </w:p>
        </w:tc>
        <w:tc>
          <w:tcPr>
            <w:shd w:fill="auto" w:val="clear"/>
          </w:tcPr>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t>
            </w:r>
            <w:r w:rsidDel="00000000" w:rsidR="00000000" w:rsidRPr="00000000">
              <w:rPr>
                <w:rFonts w:ascii="Arial" w:cs="Arial" w:eastAsia="Arial" w:hAnsi="Arial"/>
                <w:sz w:val="24"/>
                <w:szCs w:val="24"/>
                <w:rtl w:val="0"/>
              </w:rPr>
              <w:t xml:space="preserve">which are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best practice organisations;</w:t>
            </w:r>
          </w:p>
        </w:tc>
      </w:tr>
      <w:tr>
        <w:trPr>
          <w:cantSplit w:val="0"/>
          <w:tblHeader w:val="0"/>
        </w:trPr>
        <w:tc>
          <w:tcPr>
            <w:shd w:fill="auto" w:val="clea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"Equivalent Data"</w:t>
            </w:r>
          </w:p>
        </w:tc>
        <w:tc>
          <w:tcPr>
            <w:shd w:fill="auto" w:val="clear"/>
          </w:tcPr>
          <w:p w:rsidR="00000000" w:rsidDel="00000000" w:rsidP="00000000" w:rsidRDefault="00000000" w:rsidRPr="00000000" w14:paraId="000000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Value"</w:t>
            </w:r>
          </w:p>
        </w:tc>
        <w:tc>
          <w:tcPr>
            <w:shd w:fill="auto" w:val="clear"/>
          </w:tcPr>
          <w:p w:rsidR="00000000" w:rsidDel="00000000" w:rsidP="00000000" w:rsidRDefault="00000000" w:rsidRPr="00000000" w14:paraId="000000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"Upper Quartile"</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tc>
        <w:tc>
          <w:tcPr>
            <w:shd w:fill="auto" w:val="clear"/>
          </w:tcPr>
          <w:p w:rsidR="00000000" w:rsidDel="00000000" w:rsidP="00000000" w:rsidRDefault="00000000" w:rsidRPr="00000000" w14:paraId="0000001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 In respect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Benchmarked Rates, that arembased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wishes to ensure that the </w:t>
      </w:r>
      <w:r w:rsidDel="00000000" w:rsidR="00000000" w:rsidRPr="00000000">
        <w:rPr>
          <w:rFonts w:ascii="Arial" w:cs="Arial" w:eastAsia="Arial" w:hAnsi="Arial"/>
          <w:sz w:val="24"/>
          <w:szCs w:val="24"/>
          <w:rtl w:val="0"/>
        </w:rPr>
        <w:t xml:space="preserve">Deliverables represent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value for money to the taxpayer throughout the Contract Period.  </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w:t>
      </w:r>
      <w:r w:rsidDel="00000000" w:rsidR="00000000" w:rsidRPr="00000000">
        <w:rPr>
          <w:rFonts w:ascii="Arial" w:cs="Arial" w:eastAsia="Arial" w:hAnsi="Arial"/>
          <w:sz w:val="24"/>
          <w:szCs w:val="24"/>
          <w:rtl w:val="0"/>
        </w:rPr>
        <w:t xml:space="preserve">sets out to ensure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this Schedule shall not fall with the definition of a Cost.</w:t>
      </w:r>
    </w:p>
    <w:p w:rsidR="00000000" w:rsidDel="00000000" w:rsidP="00000000" w:rsidRDefault="00000000" w:rsidRPr="00000000" w14:paraId="0000001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Benchmarking</w:t>
      </w:r>
    </w:p>
    <w:p w:rsidR="00000000" w:rsidDel="00000000" w:rsidP="00000000" w:rsidRDefault="00000000" w:rsidRPr="00000000" w14:paraId="0000001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benchmarking works</w:t>
      </w:r>
    </w:p>
    <w:p w:rsidR="00000000" w:rsidDel="00000000" w:rsidP="00000000" w:rsidRDefault="00000000" w:rsidRPr="00000000" w14:paraId="0000001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1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by written notice to the Supplier, require a Benchmark Review of any or all of the Deliverables.</w:t>
      </w:r>
    </w:p>
    <w:p w:rsidR="00000000" w:rsidDel="00000000" w:rsidP="00000000" w:rsidRDefault="00000000" w:rsidRPr="00000000" w14:paraId="0000002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be entitled to request a Benchmark Review during the first six (6) Month period from the Contract Commencement Date or at intervals of less than twelve (12) Months after any previous Benchmark Review. </w:t>
      </w:r>
    </w:p>
    <w:p w:rsidR="00000000" w:rsidDel="00000000" w:rsidP="00000000" w:rsidRDefault="00000000" w:rsidRPr="00000000" w14:paraId="0000002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2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that are to be the Benchmarked Deliverables will be identified by the Buyer in writing.</w:t>
      </w:r>
    </w:p>
    <w:p w:rsidR="00000000" w:rsidDel="00000000" w:rsidP="00000000" w:rsidRDefault="00000000" w:rsidRPr="00000000" w14:paraId="0000002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its request for a Benchmark </w:t>
      </w:r>
      <w:r w:rsidDel="00000000" w:rsidR="00000000" w:rsidRPr="00000000">
        <w:rPr>
          <w:rFonts w:ascii="Arial" w:cs="Arial" w:eastAsia="Arial" w:hAnsi="Arial"/>
          <w:sz w:val="24"/>
          <w:szCs w:val="24"/>
          <w:rtl w:val="0"/>
        </w:rPr>
        <w:t xml:space="preserve">Review, the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w:t>
      </w:r>
      <w:r w:rsidDel="00000000" w:rsidR="00000000" w:rsidRPr="00000000">
        <w:rPr>
          <w:rFonts w:ascii="Arial" w:cs="Arial" w:eastAsia="Arial" w:hAnsi="Arial"/>
          <w:sz w:val="24"/>
          <w:szCs w:val="24"/>
          <w:rtl w:val="0"/>
        </w:rPr>
        <w:t xml:space="preserve">agree to the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Process</w:t>
      </w:r>
    </w:p>
    <w:p w:rsidR="00000000" w:rsidDel="00000000" w:rsidP="00000000" w:rsidRDefault="00000000" w:rsidRPr="00000000" w14:paraId="00000026">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produce and send to the Buyer, for Approval, a draft plan for the Benchmark Review which must include:</w:t>
      </w:r>
    </w:p>
    <w:p w:rsidR="00000000" w:rsidDel="00000000" w:rsidP="00000000" w:rsidRDefault="00000000" w:rsidRPr="00000000" w14:paraId="0000002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proposed cost and timetable for the Benchmark Review;</w:t>
      </w:r>
    </w:p>
    <w:p w:rsidR="00000000" w:rsidDel="00000000" w:rsidP="00000000" w:rsidRDefault="00000000" w:rsidRPr="00000000" w14:paraId="0000002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how the benchmarker will scope and identify the Comparison Group. </w:t>
      </w:r>
    </w:p>
    <w:p w:rsidR="00000000" w:rsidDel="00000000" w:rsidP="00000000" w:rsidRDefault="00000000" w:rsidRPr="00000000" w14:paraId="0000002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D">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it has received the Approval of the draft plan, the benchmarker shall:</w:t>
      </w:r>
    </w:p>
    <w:p w:rsidR="00000000" w:rsidDel="00000000" w:rsidP="00000000" w:rsidRDefault="00000000" w:rsidRPr="00000000" w14:paraId="0000002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judgment using:</w:t>
      </w:r>
    </w:p>
    <w:p w:rsidR="00000000" w:rsidDel="00000000" w:rsidP="00000000" w:rsidRDefault="00000000" w:rsidRPr="00000000" w14:paraId="0000002F">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market intelligence;</w:t>
      </w:r>
    </w:p>
    <w:p w:rsidR="00000000" w:rsidDel="00000000" w:rsidP="00000000" w:rsidRDefault="00000000" w:rsidRPr="00000000" w14:paraId="00000030">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benchmarker’s own data and experience;</w:t>
      </w:r>
    </w:p>
    <w:p w:rsidR="00000000" w:rsidDel="00000000" w:rsidP="00000000" w:rsidRDefault="00000000" w:rsidRPr="00000000" w14:paraId="00000031">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published information; and</w:t>
      </w:r>
    </w:p>
    <w:p w:rsidR="00000000" w:rsidDel="00000000" w:rsidP="00000000" w:rsidRDefault="00000000" w:rsidRPr="00000000" w14:paraId="00000032">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pursuant to Paragraph 3.2.6  below, information from other suppliers or purchasers on Comparable Rates;</w:t>
      </w:r>
    </w:p>
    <w:p w:rsidR="00000000" w:rsidDel="00000000" w:rsidP="00000000" w:rsidRDefault="00000000" w:rsidRPr="00000000" w14:paraId="0000003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the Equivalent Data, calculate the Upper Quartile;</w:t>
      </w:r>
    </w:p>
    <w:p w:rsidR="00000000" w:rsidDel="00000000" w:rsidP="00000000" w:rsidRDefault="00000000" w:rsidRPr="00000000" w14:paraId="0000003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determine whether or not each Benchmarked Rate is, and/or the Benchmarked Rates as a whole are, Good Value.</w:t>
      </w:r>
    </w:p>
    <w:p w:rsidR="00000000" w:rsidDel="00000000" w:rsidP="00000000" w:rsidRDefault="00000000" w:rsidRPr="00000000" w14:paraId="0000003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7">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exchange rates;</w:t>
      </w:r>
    </w:p>
    <w:p w:rsidR="00000000" w:rsidDel="00000000" w:rsidP="00000000" w:rsidRDefault="00000000" w:rsidRPr="00000000" w14:paraId="0000003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21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p>
    <w:p w:rsidR="00000000" w:rsidDel="00000000" w:rsidP="00000000" w:rsidRDefault="00000000" w:rsidRPr="00000000" w14:paraId="0000003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Schedule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the report produced by the benchmarker following the Benchmark Review and as further described in this Schedule;</w:t>
      </w:r>
    </w:p>
    <w:p w:rsidR="00000000" w:rsidDel="00000000" w:rsidP="00000000" w:rsidRDefault="00000000" w:rsidRPr="00000000" w14:paraId="0000003D">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finding as to whether or not a Benchmarked Service and/or whether the Benchmarked Deliverables as a whole </w:t>
      </w:r>
      <w:r w:rsidDel="00000000" w:rsidR="00000000" w:rsidRPr="00000000">
        <w:rPr>
          <w:rFonts w:ascii="Arial" w:cs="Arial" w:eastAsia="Arial" w:hAnsi="Arial"/>
          <w:sz w:val="24"/>
          <w:szCs w:val="24"/>
          <w:rtl w:val="0"/>
        </w:rPr>
        <w:t xml:space="preserve">are Good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Value;</w:t>
      </w:r>
    </w:p>
    <w:p w:rsidR="00000000" w:rsidDel="00000000" w:rsidP="00000000" w:rsidRDefault="00000000" w:rsidRPr="00000000" w14:paraId="0000003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4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4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changes required to this Contract identified in the Benchmarking Report shall be implemented at the direction of the Buyer in accordance with Clause 24 (Changing the contract).</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A">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C">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D">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E">
    <w:pPr>
      <w:tabs>
        <w:tab w:val="center" w:pos="4513"/>
        <w:tab w:val="right" w:pos="9026"/>
      </w:tabs>
      <w:spacing w:after="0" w:lineRule="auto"/>
      <w:rPr>
        <w:rFonts w:ascii="Arial" w:cs="Arial" w:eastAsia="Arial" w:hAnsi="Arial"/>
        <w:sz w:val="20"/>
        <w:szCs w:val="20"/>
      </w:rPr>
    </w:pPr>
    <w:bookmarkStart w:colFirst="0" w:colLast="0" w:name="_heading=h.tyjcwt" w:id="5"/>
    <w:bookmarkEnd w:id="5"/>
    <w:r w:rsidDel="00000000" w:rsidR="00000000" w:rsidRPr="00000000">
      <w:rPr>
        <w:rFonts w:ascii="Arial" w:cs="Arial" w:eastAsia="Arial" w:hAnsi="Arial"/>
        <w:sz w:val="20"/>
        <w:szCs w:val="20"/>
        <w:rtl w:val="0"/>
      </w:rPr>
      <w:t xml:space="preserve">Framework Ref: RM6186 – Fuel Cards VI</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0">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v3.2</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16 (Benchmarking)</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w:t>
    </w:r>
    <w:r w:rsidDel="00000000" w:rsidR="00000000" w:rsidRPr="00000000">
      <w:rPr>
        <w:rFonts w:ascii="Arial" w:cs="Arial" w:eastAsia="Arial" w:hAnsi="Arial"/>
        <w:sz w:val="20"/>
        <w:szCs w:val="20"/>
        <w:rtl w:val="0"/>
      </w:rPr>
      <w:t xml:space="preserve">2021</w:t>
    </w: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-13333</wp:posOffset>
          </wp:positionV>
          <wp:extent cx="849085" cy="685627"/>
          <wp:effectExtent b="0" l="0" r="0" t="0"/>
          <wp:wrapNone/>
          <wp:docPr descr="Crown Commercial Service" id="3"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uiPriority w:val="99"/>
    <w:qFormat w:val="1"/>
    <w:pPr>
      <w:numPr>
        <w:numId w:val="1"/>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4D49BE"/>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FF7D2ECirBo+v8I8Zdbscbzdbg==">AMUW2mXaIrM9+VxEzVXmkKzG3lPBcxnK2IsBQhKP56nHqK1mPs2rdJDt6f9xrNDOOuOkU64UykqL8jjcyZE+B5kFVzb3gxvR8j8vXfwQiqjF/K47Q6AV4NLYF4DwHhl4TNUes4fXbKaKyGW5Fix01MkNl94ovz3Nc8h9bLRXIOnxwrPg/ekOdvk+z3Br/ZyUF7zOnI/mdqnW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2021-07-21T09:49:00Z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